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13F2" w14:textId="77777777" w:rsidR="000C3DAB" w:rsidRDefault="000C3DAB">
      <w:p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rFonts w:hint="cs"/>
          <w:color w:val="000000"/>
          <w:rtl/>
        </w:rPr>
      </w:pPr>
    </w:p>
    <w:p w14:paraId="2044E450" w14:textId="26B13B18" w:rsidR="000C3DAB" w:rsidRPr="001B7C30" w:rsidRDefault="001B7C3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bCs/>
          <w:color w:val="1F1F1F"/>
          <w:sz w:val="26"/>
          <w:szCs w:val="26"/>
          <w:rtl/>
        </w:rPr>
      </w:pPr>
      <w:r w:rsidRPr="001B7C30">
        <w:rPr>
          <w:rFonts w:hint="cs"/>
          <w:b/>
          <w:bCs/>
          <w:color w:val="1F1F1F"/>
          <w:sz w:val="26"/>
          <w:szCs w:val="26"/>
          <w:rtl/>
        </w:rPr>
        <w:t xml:space="preserve">ملخص </w:t>
      </w:r>
      <w:r w:rsidR="00000000" w:rsidRPr="001B7C30">
        <w:rPr>
          <w:b/>
          <w:bCs/>
          <w:color w:val="1F1F1F"/>
          <w:sz w:val="26"/>
          <w:szCs w:val="26"/>
          <w:rtl/>
        </w:rPr>
        <w:t xml:space="preserve">الورقة البحثية </w:t>
      </w:r>
      <w:r w:rsidRPr="001B7C30">
        <w:rPr>
          <w:rFonts w:hint="cs"/>
          <w:b/>
          <w:bCs/>
          <w:color w:val="1F1F1F"/>
          <w:sz w:val="26"/>
          <w:szCs w:val="26"/>
          <w:rtl/>
        </w:rPr>
        <w:t xml:space="preserve">بعنوان: </w:t>
      </w:r>
      <w:r w:rsidR="00000000" w:rsidRPr="001B7C30">
        <w:rPr>
          <w:b/>
          <w:bCs/>
          <w:color w:val="1F1F1F"/>
          <w:sz w:val="26"/>
          <w:szCs w:val="26"/>
          <w:rtl/>
        </w:rPr>
        <w:t>"قياس نجاح المشاريع الاجتماعية التي ينفذها رواد الأعمال الاجتماعيون"</w:t>
      </w:r>
    </w:p>
    <w:p w14:paraId="13799FA7" w14:textId="799016DD" w:rsidR="001B7C30" w:rsidRPr="001B7C30" w:rsidRDefault="001B7C30" w:rsidP="001B7C30">
      <w:pPr>
        <w:pBdr>
          <w:top w:val="nil"/>
          <w:left w:val="nil"/>
          <w:bottom w:val="nil"/>
          <w:right w:val="nil"/>
          <w:between w:val="nil"/>
        </w:pBdr>
        <w:spacing w:after="360"/>
        <w:ind w:left="360"/>
        <w:rPr>
          <w:rFonts w:hint="cs"/>
          <w:color w:val="1F1F1F"/>
          <w:rtl/>
        </w:rPr>
      </w:pPr>
      <w:r>
        <w:rPr>
          <w:rFonts w:ascii="Georgia" w:eastAsia="Georgia" w:hAnsi="Georgia" w:cs="Georgia"/>
          <w:color w:val="2E3743"/>
          <w:sz w:val="45"/>
          <w:szCs w:val="45"/>
        </w:rPr>
        <w:t>Gauging the success of social ventures initiated by individual social</w:t>
      </w:r>
      <w:r>
        <w:rPr>
          <w:rFonts w:ascii="Georgia" w:eastAsia="Georgia" w:hAnsi="Georgia" w:cs="Georgia"/>
          <w:color w:val="2E3743"/>
          <w:sz w:val="45"/>
          <w:szCs w:val="45"/>
        </w:rPr>
        <w:t xml:space="preserve"> </w:t>
      </w:r>
      <w:proofErr w:type="gramStart"/>
      <w:r>
        <w:rPr>
          <w:rFonts w:ascii="Georgia" w:eastAsia="Georgia" w:hAnsi="Georgia" w:cs="Georgia"/>
          <w:color w:val="2E3743"/>
          <w:sz w:val="45"/>
          <w:szCs w:val="45"/>
        </w:rPr>
        <w:t>entrepreneurs</w:t>
      </w:r>
      <w:proofErr w:type="gramEnd"/>
    </w:p>
    <w:p w14:paraId="6C6DAAC0" w14:textId="77777777" w:rsidR="000C3DAB" w:rsidRPr="001B7C30" w:rsidRDefault="000C3DAB">
      <w:pPr>
        <w:bidi/>
        <w:spacing w:after="360"/>
        <w:ind w:left="360"/>
        <w:rPr>
          <w:rFonts w:cstheme="minorBidi" w:hint="cs"/>
          <w:color w:val="1F1F1F"/>
          <w:rtl/>
        </w:rPr>
      </w:pPr>
      <w:bookmarkStart w:id="0" w:name="_i5mt97k6zdr8" w:colFirst="0" w:colLast="0"/>
      <w:bookmarkEnd w:id="0"/>
    </w:p>
    <w:p w14:paraId="463C7392" w14:textId="77777777" w:rsidR="000C3DA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noProof/>
          <w:color w:val="1F1F1F"/>
        </w:rPr>
        <w:drawing>
          <wp:inline distT="114300" distB="114300" distL="114300" distR="114300" wp14:anchorId="0DC7129B" wp14:editId="29217CBB">
            <wp:extent cx="5943600" cy="1422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1A23FF" w14:textId="77777777" w:rsidR="001B7C30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  <w:rtl/>
        </w:rPr>
      </w:pPr>
      <w:r>
        <w:rPr>
          <w:color w:val="1F1F1F"/>
          <w:rtl/>
        </w:rPr>
        <w:t xml:space="preserve"> تبحث في كيفية قياس نجاح المشاريع الاجتماعية. </w:t>
      </w:r>
    </w:p>
    <w:p w14:paraId="33F8CD10" w14:textId="7834DD49" w:rsidR="000C3DAB" w:rsidRDefault="00000000" w:rsidP="001B7C3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يجادل الباحثون بأن هناك مجموعة متنوعة من المقاييس التي يمكن استخدامها لتقييم نجاح المشاريع الاجتماعية، وأن اختيار المقياس المناسب يعتمد على أهداف المشروع وأصحاب المصلحة.</w:t>
      </w:r>
    </w:p>
    <w:p w14:paraId="6ADFB61A" w14:textId="77777777" w:rsidR="000C3DAB" w:rsidRPr="001B7C30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bCs/>
          <w:color w:val="1F1F1F"/>
        </w:rPr>
      </w:pPr>
      <w:r w:rsidRPr="001B7C30">
        <w:rPr>
          <w:b/>
          <w:bCs/>
          <w:color w:val="1F1F1F"/>
          <w:rtl/>
        </w:rPr>
        <w:t xml:space="preserve">تحدد الورقة البحثية </w:t>
      </w:r>
      <w:proofErr w:type="gramStart"/>
      <w:r w:rsidRPr="001B7C30">
        <w:rPr>
          <w:b/>
          <w:bCs/>
          <w:color w:val="1F1F1F"/>
          <w:rtl/>
        </w:rPr>
        <w:t>أربعة</w:t>
      </w:r>
      <w:proofErr w:type="gramEnd"/>
      <w:r w:rsidRPr="001B7C30">
        <w:rPr>
          <w:b/>
          <w:bCs/>
          <w:color w:val="1F1F1F"/>
          <w:rtl/>
        </w:rPr>
        <w:t xml:space="preserve"> مجالات رئيسية يمكن استخدامها لقياس نجاح المشاريع الاجتماعية:</w:t>
      </w:r>
    </w:p>
    <w:p w14:paraId="2359F4BD" w14:textId="77777777" w:rsidR="000C3DA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1B7C30">
        <w:rPr>
          <w:bCs/>
          <w:color w:val="1F1F1F"/>
          <w:rtl/>
        </w:rPr>
        <w:t>التأثير الاجتماعي:</w:t>
      </w:r>
      <w:r>
        <w:rPr>
          <w:color w:val="1F1F1F"/>
          <w:rtl/>
        </w:rPr>
        <w:t xml:space="preserve"> يشير إلى التغييرات الإيجابية التي تحدثها المشروع في المجتمع. يمكن قياس التأثير الاجتماعي من خلال مجموعة متنوعة من المقاييس، مثل مؤشرات الأداء الرئيسية (</w:t>
      </w:r>
      <w:r>
        <w:rPr>
          <w:color w:val="1F1F1F"/>
        </w:rPr>
        <w:t>KPIs</w:t>
      </w:r>
      <w:r>
        <w:rPr>
          <w:color w:val="1F1F1F"/>
          <w:rtl/>
        </w:rPr>
        <w:t>) والاجتماعية والاقتصادية والبيئية.</w:t>
      </w:r>
    </w:p>
    <w:p w14:paraId="4D0EC2B6" w14:textId="6017734D" w:rsidR="000C3DA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1B7C30">
        <w:rPr>
          <w:bCs/>
          <w:color w:val="1F1F1F"/>
          <w:rtl/>
        </w:rPr>
        <w:t>القدرة على الاستمرارية:</w:t>
      </w:r>
      <w:r>
        <w:rPr>
          <w:color w:val="1F1F1F"/>
          <w:rtl/>
        </w:rPr>
        <w:t xml:space="preserve"> يشير إلى قدرة المشروع على البقاء على قيد الحياة والنمو على المدى الطويل. يمكن قياس القدرة على الاستمرارية من خلال مجموعة متنوعة من المقاييس، مثل الربحية والإيرادات.</w:t>
      </w:r>
    </w:p>
    <w:p w14:paraId="4A50A7F8" w14:textId="77777777" w:rsidR="000C3DA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1B7C30">
        <w:rPr>
          <w:bCs/>
          <w:color w:val="1F1F1F"/>
          <w:rtl/>
        </w:rPr>
        <w:t>رضا أصحاب المصلحة:</w:t>
      </w:r>
      <w:r>
        <w:rPr>
          <w:color w:val="1F1F1F"/>
          <w:rtl/>
        </w:rPr>
        <w:t xml:space="preserve"> يشير إلى مدى رضا أصحاب المصلحة من المشروع. يمكن قياس رضا أصحاب المصلحة من خلال مجموعة متنوعة من المقاييس، مثل الاستطلاعات والدراسات الاستقصائية والمقابلات.</w:t>
      </w:r>
    </w:p>
    <w:p w14:paraId="1348A57F" w14:textId="77777777" w:rsidR="000C3DA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 w:rsidRPr="001B7C30">
        <w:rPr>
          <w:bCs/>
          <w:color w:val="1F1F1F"/>
          <w:rtl/>
        </w:rPr>
        <w:t>التعلم والنمو:</w:t>
      </w:r>
      <w:r>
        <w:rPr>
          <w:color w:val="1F1F1F"/>
          <w:rtl/>
        </w:rPr>
        <w:t xml:space="preserve"> يشير إلى مدى قدرة المشروع على التعلم والنمو من خلال التجربة. يمكن قياس التعلم والنمو من خلال مجموعة متنوعة من المقاييس، مثل التقييمات الذاتية والمراجعات الخارجية.</w:t>
      </w:r>
    </w:p>
    <w:p w14:paraId="6501A8CA" w14:textId="67F47FCF" w:rsidR="000C3DAB" w:rsidRPr="00192681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b/>
          <w:bCs/>
          <w:color w:val="1F1F1F"/>
        </w:rPr>
      </w:pPr>
      <w:r w:rsidRPr="00192681">
        <w:rPr>
          <w:b/>
          <w:bCs/>
          <w:color w:val="1F1F1F"/>
          <w:rtl/>
        </w:rPr>
        <w:t>بناءً على هذه المجالات الأربعة، اقترح الباحثون إطارًا لقياس نجاح المشاريع الاجتماعية. يتكون الإطار من أربع خطوات:</w:t>
      </w:r>
    </w:p>
    <w:p w14:paraId="0BB53B4E" w14:textId="77777777" w:rsidR="000C3DA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192681">
        <w:rPr>
          <w:bCs/>
          <w:color w:val="1F1F1F"/>
          <w:rtl/>
        </w:rPr>
        <w:t>تحديد أهداف المشروع:</w:t>
      </w:r>
      <w:r>
        <w:rPr>
          <w:color w:val="1F1F1F"/>
          <w:rtl/>
        </w:rPr>
        <w:t xml:space="preserve"> تحديد الأهداف التي يسعى المشروع إلى تحقيقها.</w:t>
      </w:r>
    </w:p>
    <w:p w14:paraId="42B0E4B8" w14:textId="77777777" w:rsidR="000C3DA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192681">
        <w:rPr>
          <w:bCs/>
          <w:color w:val="1F1F1F"/>
          <w:rtl/>
        </w:rPr>
        <w:t>تحديد أصحاب المصلحة:</w:t>
      </w:r>
      <w:r>
        <w:rPr>
          <w:color w:val="1F1F1F"/>
          <w:rtl/>
        </w:rPr>
        <w:t xml:space="preserve"> تحديد الأشخاص أو المجموعات التي ستتأثر بالمشروع.</w:t>
      </w:r>
    </w:p>
    <w:p w14:paraId="17434854" w14:textId="77777777" w:rsidR="000C3DA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 w:rsidRPr="00192681">
        <w:rPr>
          <w:bCs/>
          <w:color w:val="1F1F1F"/>
          <w:rtl/>
        </w:rPr>
        <w:t>اختيار المقاييس المناسبة:</w:t>
      </w:r>
      <w:r>
        <w:rPr>
          <w:color w:val="1F1F1F"/>
          <w:rtl/>
        </w:rPr>
        <w:t xml:space="preserve"> اختيار المقاييس التي تتوافق مع أهداف المشروع وأصحاب المصلحة.</w:t>
      </w:r>
    </w:p>
    <w:p w14:paraId="0B3A7E0F" w14:textId="77777777" w:rsidR="000C3DA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 w:rsidRPr="00192681">
        <w:rPr>
          <w:bCs/>
          <w:color w:val="1F1F1F"/>
          <w:rtl/>
        </w:rPr>
        <w:t>جمع البيانات:</w:t>
      </w:r>
      <w:r>
        <w:rPr>
          <w:color w:val="1F1F1F"/>
          <w:rtl/>
        </w:rPr>
        <w:t xml:space="preserve"> جمع البيانات اللازمة لتقييم المشروع.</w:t>
      </w:r>
    </w:p>
    <w:p w14:paraId="5E02BA1F" w14:textId="77777777" w:rsidR="000C3DA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color w:val="1F1F1F"/>
        </w:rPr>
      </w:pPr>
      <w:r>
        <w:rPr>
          <w:color w:val="1F1F1F"/>
          <w:rtl/>
        </w:rPr>
        <w:t>يوصي الباحثون بتطبيق هذا الإطار على جميع المشاريع الاجتماعية، بغض النظر عن حجمها أو تخصصها.</w:t>
      </w:r>
    </w:p>
    <w:p w14:paraId="29AB2BB4" w14:textId="77777777" w:rsidR="000C3DAB" w:rsidRPr="00192681" w:rsidRDefault="00000000" w:rsidP="00192681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rPr>
          <w:b/>
          <w:bCs/>
          <w:color w:val="1F1F1F"/>
        </w:rPr>
      </w:pPr>
      <w:r w:rsidRPr="00192681">
        <w:rPr>
          <w:b/>
          <w:bCs/>
          <w:color w:val="1F1F1F"/>
          <w:rtl/>
        </w:rPr>
        <w:t>فيما يلي بعض التفاصيل الإضافية حول كل مجال من مجالات قياس نجاح المشاريع الاجتماعية:</w:t>
      </w:r>
    </w:p>
    <w:p w14:paraId="26B85635" w14:textId="77777777" w:rsidR="000C3DAB" w:rsidRPr="00192681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192681">
        <w:rPr>
          <w:bCs/>
          <w:color w:val="1F1F1F"/>
          <w:rtl/>
        </w:rPr>
        <w:lastRenderedPageBreak/>
        <w:t>التأثير الاجتماعي:</w:t>
      </w:r>
    </w:p>
    <w:p w14:paraId="08D0037A" w14:textId="77777777" w:rsidR="000C3DA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يمكن قياس التأثير الاجتماعي من خلال مجموعة متنوعة من المقاييس، مثل:</w:t>
      </w:r>
    </w:p>
    <w:p w14:paraId="2F221917" w14:textId="77777777" w:rsidR="000C3DA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مؤشرات الأداء الرئيسية (</w:t>
      </w:r>
      <w:r>
        <w:rPr>
          <w:b/>
          <w:color w:val="1F1F1F"/>
        </w:rPr>
        <w:t>KPIs</w:t>
      </w:r>
      <w:r>
        <w:rPr>
          <w:b/>
          <w:color w:val="1F1F1F"/>
          <w:rtl/>
        </w:rPr>
        <w:t>) الاجتماعية:</w:t>
      </w:r>
      <w:r>
        <w:rPr>
          <w:color w:val="1F1F1F"/>
          <w:rtl/>
        </w:rPr>
        <w:t xml:space="preserve"> مثل عدد الأشخاص الذين تم مساعدتهم أو عدد المشكلات التي تم حلها.</w:t>
      </w:r>
    </w:p>
    <w:p w14:paraId="4A2962EB" w14:textId="77777777" w:rsidR="000C3DA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المؤشرات الاجتماعية والاقتصادية:</w:t>
      </w:r>
      <w:r>
        <w:rPr>
          <w:color w:val="1F1F1F"/>
          <w:rtl/>
        </w:rPr>
        <w:t xml:space="preserve"> مثل تغييرات الدخل أو الصحة أو التعليم.</w:t>
      </w:r>
    </w:p>
    <w:p w14:paraId="30C4A9DD" w14:textId="77777777" w:rsidR="000C3DA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>
        <w:rPr>
          <w:b/>
          <w:color w:val="1F1F1F"/>
          <w:rtl/>
        </w:rPr>
        <w:t>المؤشرات البيئية:</w:t>
      </w:r>
      <w:r>
        <w:rPr>
          <w:color w:val="1F1F1F"/>
          <w:rtl/>
        </w:rPr>
        <w:t xml:space="preserve"> مثل تقليل التلوث أو الحفاظ على الموارد الطبيعية.</w:t>
      </w:r>
    </w:p>
    <w:p w14:paraId="03B54A9F" w14:textId="77777777" w:rsidR="000C3DAB" w:rsidRPr="00192681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bCs/>
          <w:color w:val="1F1F1F"/>
        </w:rPr>
      </w:pPr>
      <w:r w:rsidRPr="00192681">
        <w:rPr>
          <w:bCs/>
          <w:color w:val="1F1F1F"/>
          <w:rtl/>
        </w:rPr>
        <w:t>القدرة على الاستمرارية:</w:t>
      </w:r>
    </w:p>
    <w:p w14:paraId="5CFC663D" w14:textId="77777777" w:rsidR="000C3DA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يمكن قياس القدرة على الاستمرارية من خلال مجموعة متنوعة من المقاييس، مثل:</w:t>
      </w:r>
    </w:p>
    <w:p w14:paraId="59EB2001" w14:textId="77777777" w:rsidR="000C3D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الربحية:</w:t>
      </w:r>
      <w:r>
        <w:rPr>
          <w:color w:val="1F1F1F"/>
          <w:rtl/>
        </w:rPr>
        <w:t xml:space="preserve"> الربح الذي يحققه المشروع.</w:t>
      </w:r>
    </w:p>
    <w:p w14:paraId="2C37AB25" w14:textId="77777777" w:rsidR="000C3D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الإيرادات:</w:t>
      </w:r>
      <w:r>
        <w:rPr>
          <w:color w:val="1F1F1F"/>
          <w:rtl/>
        </w:rPr>
        <w:t xml:space="preserve"> مقدار الأموال التي يحصل عليها المشروع.</w:t>
      </w:r>
    </w:p>
    <w:p w14:paraId="6EAD69AE" w14:textId="77777777" w:rsidR="000C3D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>
        <w:rPr>
          <w:b/>
          <w:color w:val="1F1F1F"/>
          <w:rtl/>
        </w:rPr>
        <w:t>النمو:</w:t>
      </w:r>
      <w:r>
        <w:rPr>
          <w:color w:val="1F1F1F"/>
          <w:rtl/>
        </w:rPr>
        <w:t xml:space="preserve"> مدى نمو المشروع.</w:t>
      </w:r>
    </w:p>
    <w:p w14:paraId="0DBC1DBE" w14:textId="77777777" w:rsidR="000C3DAB" w:rsidRPr="00192681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bCs/>
          <w:color w:val="1F1F1F"/>
        </w:rPr>
      </w:pPr>
      <w:r w:rsidRPr="00192681">
        <w:rPr>
          <w:bCs/>
          <w:color w:val="1F1F1F"/>
          <w:rtl/>
        </w:rPr>
        <w:t>رضا أصحاب المصلحة:</w:t>
      </w:r>
    </w:p>
    <w:p w14:paraId="04CDBA4C" w14:textId="77777777" w:rsidR="000C3DA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يمكن قياس رضا أصحاب المصلحة من خلال مجموعة متنوعة من المقاييس، مثل:</w:t>
      </w:r>
    </w:p>
    <w:p w14:paraId="6370B8E5" w14:textId="77777777" w:rsidR="000C3D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الاستطلاعات:</w:t>
      </w:r>
      <w:r>
        <w:rPr>
          <w:color w:val="1F1F1F"/>
          <w:rtl/>
        </w:rPr>
        <w:t xml:space="preserve"> استطلاعات الرأي التي تُجرى على أصحاب المصلحة.</w:t>
      </w:r>
    </w:p>
    <w:p w14:paraId="76720760" w14:textId="77777777" w:rsidR="000C3D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الدراسات الاستقصائية:</w:t>
      </w:r>
      <w:r>
        <w:rPr>
          <w:color w:val="1F1F1F"/>
          <w:rtl/>
        </w:rPr>
        <w:t xml:space="preserve"> الدراسات التي تُجرى على أصحاب المصلحة.</w:t>
      </w:r>
    </w:p>
    <w:p w14:paraId="0F91D415" w14:textId="77777777" w:rsidR="000C3D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>
        <w:rPr>
          <w:b/>
          <w:color w:val="1F1F1F"/>
          <w:rtl/>
        </w:rPr>
        <w:t>المقابلات:</w:t>
      </w:r>
      <w:r>
        <w:rPr>
          <w:color w:val="1F1F1F"/>
          <w:rtl/>
        </w:rPr>
        <w:t xml:space="preserve"> المقابلات التي تُجرى مع أصحاب المصلحة.</w:t>
      </w:r>
    </w:p>
    <w:p w14:paraId="6881D3D0" w14:textId="77777777" w:rsidR="000C3DAB" w:rsidRPr="00192681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bCs/>
          <w:color w:val="1F1F1F"/>
        </w:rPr>
      </w:pPr>
      <w:r w:rsidRPr="00192681">
        <w:rPr>
          <w:bCs/>
          <w:color w:val="1F1F1F"/>
          <w:rtl/>
        </w:rPr>
        <w:t>التعلم والنمو:</w:t>
      </w:r>
    </w:p>
    <w:p w14:paraId="57A7B684" w14:textId="77777777" w:rsidR="000C3DA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يمكن قياس التعلم والنمو من خلال مجموعة متنوعة من المقاييس، مثل:</w:t>
      </w:r>
    </w:p>
    <w:p w14:paraId="5811CBA1" w14:textId="77777777" w:rsidR="000C3DA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ind w:right="540"/>
      </w:pPr>
      <w:r>
        <w:rPr>
          <w:b/>
          <w:color w:val="1F1F1F"/>
          <w:rtl/>
        </w:rPr>
        <w:t>التقييمات الذاتية:</w:t>
      </w:r>
      <w:r>
        <w:rPr>
          <w:color w:val="1F1F1F"/>
          <w:rtl/>
        </w:rPr>
        <w:t xml:space="preserve"> التقييمات التي يقوم بها المشروع لنفسه.</w:t>
      </w:r>
    </w:p>
    <w:p w14:paraId="3DBDCBFC" w14:textId="77777777" w:rsidR="000C3DA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50"/>
        <w:ind w:right="540"/>
      </w:pPr>
      <w:r>
        <w:rPr>
          <w:b/>
          <w:color w:val="1F1F1F"/>
          <w:rtl/>
        </w:rPr>
        <w:t>المراجعات الخارجية:</w:t>
      </w:r>
      <w:r>
        <w:rPr>
          <w:color w:val="1F1F1F"/>
          <w:rtl/>
        </w:rPr>
        <w:t xml:space="preserve"> المراجعات التي يقوم بها أشخاص أو مجموعات مستقلة.</w:t>
      </w:r>
    </w:p>
    <w:p w14:paraId="35475CFC" w14:textId="77777777" w:rsidR="000C3DAB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before="360" w:after="360"/>
        <w:ind w:left="360"/>
        <w:rPr>
          <w:color w:val="1F1F1F"/>
        </w:rPr>
      </w:pPr>
      <w:r>
        <w:rPr>
          <w:color w:val="1F1F1F"/>
          <w:rtl/>
        </w:rPr>
        <w:t>يقدم إطار قياس نجاح المشاريع الاجتماعية نهجًا شاملًا لمساعدة رواد الأعمال الاجتماعيين على تقييم نجاح مشاريعهم.</w:t>
      </w:r>
    </w:p>
    <w:sectPr w:rsidR="000C3DA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413C4"/>
    <w:multiLevelType w:val="multilevel"/>
    <w:tmpl w:val="D730EBA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4183297"/>
    <w:multiLevelType w:val="multilevel"/>
    <w:tmpl w:val="F6BC13E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68961260"/>
    <w:multiLevelType w:val="multilevel"/>
    <w:tmpl w:val="422CF98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6BC23206"/>
    <w:multiLevelType w:val="multilevel"/>
    <w:tmpl w:val="80E07D8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6DFC3CA4"/>
    <w:multiLevelType w:val="multilevel"/>
    <w:tmpl w:val="60D0663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6FC9459E"/>
    <w:multiLevelType w:val="multilevel"/>
    <w:tmpl w:val="F15E221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527518585">
    <w:abstractNumId w:val="5"/>
  </w:num>
  <w:num w:numId="2" w16cid:durableId="1187257676">
    <w:abstractNumId w:val="3"/>
  </w:num>
  <w:num w:numId="3" w16cid:durableId="667484518">
    <w:abstractNumId w:val="1"/>
  </w:num>
  <w:num w:numId="4" w16cid:durableId="1151096035">
    <w:abstractNumId w:val="0"/>
  </w:num>
  <w:num w:numId="5" w16cid:durableId="1585065884">
    <w:abstractNumId w:val="2"/>
  </w:num>
  <w:num w:numId="6" w16cid:durableId="1858691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AB"/>
    <w:rsid w:val="000C3DAB"/>
    <w:rsid w:val="00192681"/>
    <w:rsid w:val="001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147E9"/>
  <w15:docId w15:val="{D54F4A63-1B15-4367-BE01-C9A15DA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طارق السلمان</cp:lastModifiedBy>
  <cp:revision>3</cp:revision>
  <dcterms:created xsi:type="dcterms:W3CDTF">2023-12-16T08:10:00Z</dcterms:created>
  <dcterms:modified xsi:type="dcterms:W3CDTF">2023-12-16T08:13:00Z</dcterms:modified>
</cp:coreProperties>
</file>